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6C872">
      <w:pPr>
        <w:spacing w:after="0" w:line="276" w:lineRule="auto"/>
        <w:jc w:val="center"/>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ANEXO II</w:t>
      </w:r>
    </w:p>
    <w:p w14:paraId="6A1F6F55">
      <w:pPr>
        <w:spacing w:after="0" w:line="276" w:lineRule="auto"/>
        <w:jc w:val="center"/>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FUNDAÇÃO UNIVERSIDADE FEDERAL DE PELOTAS</w:t>
      </w:r>
    </w:p>
    <w:p w14:paraId="7D840E5B">
      <w:pPr>
        <w:spacing w:after="0" w:line="276" w:lineRule="auto"/>
        <w:jc w:val="center"/>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MINUTA DA ATA DE REGISTRO DE PREÇO</w:t>
      </w:r>
    </w:p>
    <w:p w14:paraId="0120C161">
      <w:pPr>
        <w:spacing w:after="0" w:line="276" w:lineRule="auto"/>
        <w:jc w:val="center"/>
        <w:rPr>
          <w:rFonts w:ascii="Times New Roman" w:hAnsi="Times New Roman" w:eastAsia="Times New Roman" w:cs="Times New Roman"/>
          <w:b/>
          <w:bCs/>
          <w:caps/>
          <w:color w:val="FF0000"/>
          <w:sz w:val="24"/>
          <w:szCs w:val="24"/>
          <w:lang w:eastAsia="pt-BR"/>
        </w:rPr>
      </w:pPr>
      <w:r>
        <w:rPr>
          <w:rFonts w:ascii="Times New Roman" w:hAnsi="Times New Roman" w:eastAsia="Times New Roman" w:cs="Times New Roman"/>
          <w:b/>
          <w:bCs/>
          <w:caps/>
          <w:color w:val="000000"/>
          <w:sz w:val="24"/>
          <w:szCs w:val="24"/>
          <w:lang w:eastAsia="pt-BR"/>
        </w:rPr>
        <w:t xml:space="preserve">PREGÃO ELETRÔNICO Nº. </w:t>
      </w:r>
      <w:r>
        <w:rPr>
          <w:rFonts w:hint="default" w:ascii="Times New Roman" w:hAnsi="Times New Roman" w:eastAsia="Times New Roman" w:cs="Times New Roman"/>
          <w:b/>
          <w:bCs/>
          <w:caps/>
          <w:color w:val="000000"/>
          <w:sz w:val="24"/>
          <w:szCs w:val="24"/>
          <w:lang w:val="en-US" w:eastAsia="pt-BR"/>
        </w:rPr>
        <w:t>90XX</w:t>
      </w:r>
      <w:r>
        <w:rPr>
          <w:rFonts w:ascii="Times New Roman" w:hAnsi="Times New Roman" w:eastAsia="Times New Roman" w:cs="Times New Roman"/>
          <w:b/>
          <w:bCs/>
          <w:caps/>
          <w:color w:val="FF0000"/>
          <w:sz w:val="24"/>
          <w:szCs w:val="24"/>
          <w:lang w:eastAsia="pt-BR"/>
        </w:rPr>
        <w:t>/2025</w:t>
      </w:r>
    </w:p>
    <w:p w14:paraId="53625764">
      <w:pPr>
        <w:spacing w:after="0" w:line="276" w:lineRule="auto"/>
        <w:jc w:val="center"/>
        <w:rPr>
          <w:rFonts w:ascii="Times New Roman" w:hAnsi="Times New Roman" w:eastAsia="Times New Roman" w:cs="Times New Roman"/>
          <w:b/>
          <w:bCs/>
          <w:caps/>
          <w:color w:val="FF0000"/>
          <w:sz w:val="24"/>
          <w:szCs w:val="24"/>
          <w:lang w:eastAsia="pt-BR"/>
        </w:rPr>
      </w:pPr>
      <w:r>
        <w:rPr>
          <w:rFonts w:ascii="Times New Roman" w:hAnsi="Times New Roman" w:eastAsia="Times New Roman" w:cs="Times New Roman"/>
          <w:b/>
          <w:bCs/>
          <w:caps/>
          <w:sz w:val="24"/>
          <w:szCs w:val="24"/>
          <w:lang w:eastAsia="pt-BR"/>
        </w:rPr>
        <w:t>PROCESSO Nº </w:t>
      </w:r>
      <w:r>
        <w:rPr>
          <w:rFonts w:hint="default" w:ascii="Times New Roman" w:hAnsi="Times New Roman" w:eastAsia="Times New Roman"/>
          <w:b/>
          <w:bCs/>
          <w:caps/>
          <w:color w:val="FF0000"/>
          <w:sz w:val="24"/>
          <w:szCs w:val="24"/>
          <w:lang w:eastAsia="pt-BR"/>
        </w:rPr>
        <w:t>23110.</w:t>
      </w:r>
      <w:r>
        <w:rPr>
          <w:rFonts w:hint="default" w:ascii="Times New Roman" w:hAnsi="Times New Roman" w:eastAsia="Times New Roman"/>
          <w:b/>
          <w:bCs/>
          <w:caps/>
          <w:color w:val="FF0000"/>
          <w:sz w:val="24"/>
          <w:szCs w:val="24"/>
          <w:lang w:val="en-US" w:eastAsia="pt-BR"/>
        </w:rPr>
        <w:t>XXXXXX</w:t>
      </w:r>
      <w:r>
        <w:rPr>
          <w:rFonts w:hint="default" w:ascii="Times New Roman" w:hAnsi="Times New Roman" w:eastAsia="Times New Roman"/>
          <w:b/>
          <w:bCs/>
          <w:caps/>
          <w:color w:val="FF0000"/>
          <w:sz w:val="24"/>
          <w:szCs w:val="24"/>
          <w:lang w:eastAsia="pt-BR"/>
        </w:rPr>
        <w:t>/20</w:t>
      </w:r>
      <w:r>
        <w:rPr>
          <w:rFonts w:hint="default" w:ascii="Times New Roman" w:hAnsi="Times New Roman" w:eastAsia="Times New Roman"/>
          <w:b/>
          <w:bCs/>
          <w:caps/>
          <w:color w:val="FF0000"/>
          <w:sz w:val="24"/>
          <w:szCs w:val="24"/>
          <w:lang w:val="en-US" w:eastAsia="pt-BR"/>
        </w:rPr>
        <w:t>25</w:t>
      </w:r>
      <w:r>
        <w:rPr>
          <w:rFonts w:hint="default" w:ascii="Times New Roman" w:hAnsi="Times New Roman" w:eastAsia="Times New Roman"/>
          <w:b/>
          <w:bCs/>
          <w:caps/>
          <w:color w:val="FF0000"/>
          <w:sz w:val="24"/>
          <w:szCs w:val="24"/>
          <w:lang w:eastAsia="pt-BR"/>
        </w:rPr>
        <w:t>-</w:t>
      </w:r>
      <w:r>
        <w:rPr>
          <w:rFonts w:hint="default" w:ascii="Times New Roman" w:hAnsi="Times New Roman" w:eastAsia="Times New Roman"/>
          <w:b/>
          <w:bCs/>
          <w:caps/>
          <w:color w:val="FF0000"/>
          <w:sz w:val="24"/>
          <w:szCs w:val="24"/>
          <w:lang w:val="en-US" w:eastAsia="pt-BR"/>
        </w:rPr>
        <w:t>XX</w:t>
      </w:r>
    </w:p>
    <w:p w14:paraId="28D2E0FA">
      <w:pPr>
        <w:keepNext w:val="0"/>
        <w:keepLines w:val="0"/>
        <w:widowControl/>
        <w:suppressLineNumbers w:val="0"/>
        <w:jc w:val="left"/>
      </w:pPr>
      <w:r>
        <w:rPr>
          <w:rFonts w:ascii="Times New Roman" w:hAnsi="Times New Roman" w:eastAsia="Times New Roman" w:cs="Times New Roman"/>
          <w:b/>
          <w:bCs/>
          <w:caps/>
          <w:color w:val="000000"/>
          <w:sz w:val="24"/>
          <w:szCs w:val="24"/>
          <w:lang w:eastAsia="pt-BR"/>
        </w:rPr>
        <w:t> </w:t>
      </w:r>
    </w:p>
    <w:p w14:paraId="6E2E52A2">
      <w:pPr>
        <w:spacing w:before="100" w:beforeAutospacing="1" w:after="100" w:afterAutospacing="1" w:line="276" w:lineRule="auto"/>
        <w:jc w:val="center"/>
        <w:rPr>
          <w:rFonts w:ascii="Times New Roman" w:hAnsi="Times New Roman" w:eastAsia="Times New Roman" w:cs="Times New Roman"/>
          <w:b/>
          <w:bCs/>
          <w:caps/>
          <w:color w:val="000000"/>
          <w:sz w:val="24"/>
          <w:szCs w:val="24"/>
          <w:lang w:eastAsia="pt-BR"/>
        </w:rPr>
      </w:pPr>
    </w:p>
    <w:p w14:paraId="785B868F">
      <w:pPr>
        <w:spacing w:before="120" w:after="120" w:line="276" w:lineRule="auto"/>
        <w:ind w:right="142" w:firstLine="708"/>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xml:space="preserve">A Fundação Universidade Federal de Pelotas, situada na Rua Gomes Carneiro nº 01, Pelotas / RS, inscrita no CNPJ sob o nº 92.242.080/0001-00, representada pela Reitora Ursula Rosa da Silva, nomeada pelo Decreto de 20 de dezembro de 2024, publicado em 23/12/2024 no D.O.U., seção 02, considerando o julgamento da licitação na modalidade de pregão, na forma eletrônica, para REGISTRO DE PREÇOS nº </w:t>
      </w:r>
      <w:r>
        <w:rPr>
          <w:rFonts w:hint="default" w:ascii="Times New Roman" w:hAnsi="Times New Roman" w:eastAsia="Times New Roman" w:cs="Times New Roman"/>
          <w:color w:val="000000"/>
          <w:sz w:val="24"/>
          <w:szCs w:val="24"/>
          <w:lang w:val="en-US" w:eastAsia="pt-BR"/>
        </w:rPr>
        <w:t>90008</w:t>
      </w:r>
      <w:r>
        <w:rPr>
          <w:rFonts w:ascii="Times New Roman" w:hAnsi="Times New Roman" w:eastAsia="Times New Roman" w:cs="Times New Roman"/>
          <w:color w:val="FF0000"/>
          <w:sz w:val="24"/>
          <w:szCs w:val="24"/>
          <w:lang w:eastAsia="pt-BR"/>
        </w:rPr>
        <w:t>/2025</w:t>
      </w:r>
      <w:r>
        <w:rPr>
          <w:rFonts w:ascii="Times New Roman" w:hAnsi="Times New Roman" w:eastAsia="Times New Roman" w:cs="Times New Roman"/>
          <w:color w:val="000000"/>
          <w:sz w:val="24"/>
          <w:szCs w:val="24"/>
          <w:lang w:eastAsia="pt-BR"/>
        </w:rPr>
        <w:t>, RESOLVE registrar os preços da(s)  empresa(s) indicada(s) e qualificada(s) nesta ATA, de acordo com a classificação por ela(s) alcançada(s) e na(s)  quantidade(s)  cotada(s), atendendo as condições previstas no edital, sujeitando-se as partes às normas constantes na Lei Federal nº14.133/2023 e Decreto nº 11.462/2023, e em conformidade com as disposições a seguir:</w:t>
      </w:r>
    </w:p>
    <w:p w14:paraId="3F754CEF">
      <w:pPr>
        <w:spacing w:before="120" w:after="120" w:line="276" w:lineRule="auto"/>
        <w:ind w:left="120" w:firstLine="1418"/>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w:t>
      </w:r>
    </w:p>
    <w:p w14:paraId="6E3C332E">
      <w:pPr>
        <w:pStyle w:val="16"/>
        <w:numPr>
          <w:ilvl w:val="0"/>
          <w:numId w:val="1"/>
        </w:num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DO OBJETO</w:t>
      </w:r>
    </w:p>
    <w:p w14:paraId="7F9DD325">
      <w:pPr>
        <w:spacing w:before="120" w:after="120" w:line="276" w:lineRule="auto"/>
        <w:ind w:right="142"/>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1.1 A presente Ata tem por objeto o registro de preços para a eventual </w:t>
      </w:r>
      <w:r>
        <w:rPr>
          <w:rFonts w:hint="default" w:ascii="Times New Roman" w:hAnsi="Times New Roman" w:eastAsia="Times New Roman"/>
          <w:color w:val="FF0000"/>
          <w:sz w:val="24"/>
          <w:szCs w:val="24"/>
          <w:lang w:eastAsia="pt-BR"/>
        </w:rPr>
        <w:t xml:space="preserve">Aquisição de </w:t>
      </w:r>
      <w:r>
        <w:rPr>
          <w:rFonts w:hint="default" w:ascii="Times New Roman" w:hAnsi="Times New Roman" w:eastAsia="Times New Roman"/>
          <w:color w:val="FF0000"/>
          <w:sz w:val="24"/>
          <w:szCs w:val="24"/>
          <w:lang w:val="en-US" w:eastAsia="pt-BR"/>
        </w:rPr>
        <w:t>XXXXXXXXXXXX</w:t>
      </w:r>
      <w:r>
        <w:rPr>
          <w:rFonts w:ascii="Times New Roman" w:hAnsi="Times New Roman" w:eastAsia="Times New Roman" w:cs="Times New Roman"/>
          <w:color w:val="000000"/>
          <w:sz w:val="24"/>
          <w:szCs w:val="24"/>
          <w:lang w:eastAsia="pt-BR"/>
        </w:rPr>
        <w:t>, especificado no Termo de Referência, anexo I do edital de Pregão </w:t>
      </w:r>
      <w:r>
        <w:rPr>
          <w:rFonts w:ascii="Times New Roman" w:hAnsi="Times New Roman" w:eastAsia="Times New Roman" w:cs="Times New Roman"/>
          <w:color w:val="FF0000"/>
          <w:sz w:val="24"/>
          <w:szCs w:val="24"/>
          <w:lang w:eastAsia="pt-BR"/>
        </w:rPr>
        <w:t>nº </w:t>
      </w:r>
      <w:r>
        <w:rPr>
          <w:rFonts w:hint="default" w:ascii="Times New Roman" w:hAnsi="Times New Roman" w:eastAsia="Times New Roman" w:cs="Times New Roman"/>
          <w:color w:val="FF0000"/>
          <w:sz w:val="24"/>
          <w:szCs w:val="24"/>
          <w:lang w:val="en-US" w:eastAsia="pt-BR"/>
        </w:rPr>
        <w:t>90XXX</w:t>
      </w:r>
      <w:r>
        <w:rPr>
          <w:rFonts w:ascii="Times New Roman" w:hAnsi="Times New Roman" w:eastAsia="Times New Roman" w:cs="Times New Roman"/>
          <w:color w:val="FF0000"/>
          <w:sz w:val="24"/>
          <w:szCs w:val="24"/>
          <w:lang w:eastAsia="pt-BR"/>
        </w:rPr>
        <w:t>/2025</w:t>
      </w:r>
      <w:r>
        <w:rPr>
          <w:rFonts w:ascii="Times New Roman" w:hAnsi="Times New Roman" w:eastAsia="Times New Roman" w:cs="Times New Roman"/>
          <w:color w:val="000000"/>
          <w:sz w:val="24"/>
          <w:szCs w:val="24"/>
          <w:lang w:eastAsia="pt-BR"/>
        </w:rPr>
        <w:t>, que é parte integrante desta Ata, assim como a proposta vencedora, independentemente de transcrição.</w:t>
      </w:r>
    </w:p>
    <w:p w14:paraId="2CCC92D1">
      <w:pPr>
        <w:spacing w:before="120" w:after="120" w:line="276" w:lineRule="auto"/>
        <w:ind w:left="120" w:right="120" w:firstLine="1418"/>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w:t>
      </w:r>
    </w:p>
    <w:p w14:paraId="13877D0F">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2. DOS PREÇOS, ESPECIFICAÇÕES E QUANTITATIVOS</w:t>
      </w:r>
    </w:p>
    <w:p w14:paraId="6140E2CB">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2.1. O preço registrado, as especificações do objeto, a quantidade, fornecedor(es) e as demais condições ofertadas na(s) proposta(s) são as que seguem:</w:t>
      </w:r>
    </w:p>
    <w:p w14:paraId="2F56D602">
      <w:pPr>
        <w:spacing w:before="120" w:after="120" w:line="276" w:lineRule="auto"/>
        <w:ind w:right="120"/>
        <w:jc w:val="both"/>
        <w:rPr>
          <w:rFonts w:ascii="Times New Roman" w:hAnsi="Times New Roman" w:eastAsia="Times New Roman" w:cs="Times New Roman"/>
          <w:color w:val="000000"/>
          <w:sz w:val="24"/>
          <w:szCs w:val="24"/>
          <w:lang w:eastAsia="pt-BR"/>
        </w:rPr>
      </w:pPr>
    </w:p>
    <w:tbl>
      <w:tblPr>
        <w:tblStyle w:val="3"/>
        <w:tblW w:w="8505" w:type="dxa"/>
        <w:tblCellSpacing w:w="0" w:type="dxa"/>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840"/>
        <w:gridCol w:w="2827"/>
        <w:gridCol w:w="1436"/>
        <w:gridCol w:w="1250"/>
        <w:gridCol w:w="944"/>
        <w:gridCol w:w="1208"/>
      </w:tblGrid>
      <w:tr w14:paraId="41AF084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56" w:hRule="atLeast"/>
          <w:tblCellSpacing w:w="0" w:type="dxa"/>
        </w:trPr>
        <w:tc>
          <w:tcPr>
            <w:tcW w:w="8505" w:type="dxa"/>
            <w:gridSpan w:val="6"/>
            <w:tcBorders>
              <w:top w:val="outset" w:color="auto" w:sz="6" w:space="0"/>
              <w:left w:val="outset" w:color="auto" w:sz="6" w:space="0"/>
              <w:bottom w:val="outset" w:color="auto" w:sz="6" w:space="0"/>
              <w:right w:val="outset" w:color="auto" w:sz="6" w:space="0"/>
            </w:tcBorders>
            <w:vAlign w:val="center"/>
          </w:tcPr>
          <w:p w14:paraId="1E34A130">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p>
          <w:p w14:paraId="07A16463">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Fornecedor (razão social, CNPJ/MF, endereço, contatos, representante)</w:t>
            </w:r>
          </w:p>
          <w:p w14:paraId="121D1F69">
            <w:pPr>
              <w:autoSpaceDE w:val="0"/>
              <w:autoSpaceDN w:val="0"/>
              <w:adjustRightInd w:val="0"/>
              <w:spacing w:after="0" w:line="276" w:lineRule="auto"/>
              <w:rPr>
                <w:rFonts w:ascii="Times New Roman" w:hAnsi="Times New Roman" w:eastAsia="Times New Roman" w:cs="Times New Roman"/>
                <w:color w:val="000000"/>
                <w:sz w:val="24"/>
                <w:szCs w:val="24"/>
                <w:lang w:eastAsia="pt-BR"/>
              </w:rPr>
            </w:pPr>
          </w:p>
        </w:tc>
      </w:tr>
      <w:tr w14:paraId="4240250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234" w:hRule="atLeast"/>
          <w:tblCellSpacing w:w="0" w:type="dxa"/>
        </w:trPr>
        <w:tc>
          <w:tcPr>
            <w:tcW w:w="840" w:type="dxa"/>
            <w:tcBorders>
              <w:top w:val="outset" w:color="auto" w:sz="6" w:space="0"/>
              <w:left w:val="outset" w:color="auto" w:sz="6" w:space="0"/>
              <w:bottom w:val="outset" w:color="auto" w:sz="6" w:space="0"/>
              <w:right w:val="outset" w:color="auto" w:sz="6" w:space="0"/>
            </w:tcBorders>
            <w:vAlign w:val="center"/>
          </w:tcPr>
          <w:p w14:paraId="275F7B85">
            <w:pPr>
              <w:spacing w:before="100" w:beforeAutospacing="1" w:after="100" w:afterAutospacing="1" w:line="276" w:lineRule="auto"/>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Item do edital </w:t>
            </w:r>
          </w:p>
        </w:tc>
        <w:tc>
          <w:tcPr>
            <w:tcW w:w="2827" w:type="dxa"/>
            <w:tcBorders>
              <w:top w:val="outset" w:color="auto" w:sz="6" w:space="0"/>
              <w:left w:val="outset" w:color="auto" w:sz="6" w:space="0"/>
              <w:bottom w:val="outset" w:color="auto" w:sz="6" w:space="0"/>
              <w:right w:val="outset" w:color="auto" w:sz="6" w:space="0"/>
            </w:tcBorders>
            <w:vAlign w:val="center"/>
          </w:tcPr>
          <w:p w14:paraId="07406095">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Especificação</w:t>
            </w:r>
          </w:p>
        </w:tc>
        <w:tc>
          <w:tcPr>
            <w:tcW w:w="1436" w:type="dxa"/>
            <w:tcBorders>
              <w:top w:val="outset" w:color="auto" w:sz="6" w:space="0"/>
              <w:left w:val="outset" w:color="auto" w:sz="6" w:space="0"/>
              <w:bottom w:val="outset" w:color="auto" w:sz="6" w:space="0"/>
              <w:right w:val="outset" w:color="auto" w:sz="6" w:space="0"/>
            </w:tcBorders>
            <w:vAlign w:val="center"/>
          </w:tcPr>
          <w:p w14:paraId="76232E01">
            <w:pPr>
              <w:spacing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Marca e Modelo</w:t>
            </w:r>
          </w:p>
        </w:tc>
        <w:tc>
          <w:tcPr>
            <w:tcW w:w="1250" w:type="dxa"/>
            <w:tcBorders>
              <w:top w:val="outset" w:color="auto" w:sz="6" w:space="0"/>
              <w:left w:val="outset" w:color="auto" w:sz="6" w:space="0"/>
              <w:bottom w:val="outset" w:color="auto" w:sz="6" w:space="0"/>
              <w:right w:val="outset" w:color="auto" w:sz="6" w:space="0"/>
            </w:tcBorders>
            <w:vAlign w:val="center"/>
          </w:tcPr>
          <w:p w14:paraId="225E9CB2">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Unidade de medida</w:t>
            </w:r>
          </w:p>
        </w:tc>
        <w:tc>
          <w:tcPr>
            <w:tcW w:w="944" w:type="dxa"/>
            <w:tcBorders>
              <w:top w:val="outset" w:color="auto" w:sz="6" w:space="0"/>
              <w:left w:val="outset" w:color="auto" w:sz="6" w:space="0"/>
              <w:bottom w:val="outset" w:color="auto" w:sz="6" w:space="0"/>
              <w:right w:val="outset" w:color="auto" w:sz="6" w:space="0"/>
            </w:tcBorders>
            <w:vAlign w:val="center"/>
          </w:tcPr>
          <w:p w14:paraId="1AACDEEC">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Quantidade</w:t>
            </w:r>
          </w:p>
        </w:tc>
        <w:tc>
          <w:tcPr>
            <w:tcW w:w="1208" w:type="dxa"/>
            <w:tcBorders>
              <w:top w:val="outset" w:color="auto" w:sz="6" w:space="0"/>
              <w:left w:val="outset" w:color="auto" w:sz="6" w:space="0"/>
              <w:bottom w:val="outset" w:color="auto" w:sz="6" w:space="0"/>
              <w:right w:val="outset" w:color="auto" w:sz="6" w:space="0"/>
            </w:tcBorders>
            <w:vAlign w:val="center"/>
          </w:tcPr>
          <w:p w14:paraId="4064ABBB">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Valor Unitário</w:t>
            </w:r>
          </w:p>
        </w:tc>
      </w:tr>
      <w:tr w14:paraId="1801B1D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trPr>
        <w:tc>
          <w:tcPr>
            <w:tcW w:w="840" w:type="dxa"/>
            <w:tcBorders>
              <w:top w:val="outset" w:color="auto" w:sz="6" w:space="0"/>
              <w:left w:val="outset" w:color="auto" w:sz="6" w:space="0"/>
              <w:bottom w:val="outset" w:color="auto" w:sz="6" w:space="0"/>
              <w:right w:val="outset" w:color="auto" w:sz="6" w:space="0"/>
            </w:tcBorders>
            <w:vAlign w:val="center"/>
          </w:tcPr>
          <w:p w14:paraId="657FBEE6">
            <w:pPr>
              <w:spacing w:before="100" w:beforeAutospacing="1" w:after="100" w:afterAutospacing="1" w:line="276" w:lineRule="auto"/>
              <w:jc w:val="center"/>
              <w:rPr>
                <w:rFonts w:hint="default" w:ascii="Times New Roman" w:hAnsi="Times New Roman" w:eastAsia="Times New Roman" w:cs="Times New Roman"/>
                <w:color w:val="000000"/>
                <w:sz w:val="24"/>
                <w:szCs w:val="24"/>
                <w:lang w:val="en-US" w:eastAsia="pt-BR"/>
              </w:rPr>
            </w:pPr>
          </w:p>
        </w:tc>
        <w:tc>
          <w:tcPr>
            <w:tcW w:w="2827" w:type="dxa"/>
            <w:tcBorders>
              <w:top w:val="outset" w:color="auto" w:sz="6" w:space="0"/>
              <w:left w:val="outset" w:color="auto" w:sz="6" w:space="0"/>
              <w:bottom w:val="outset" w:color="auto" w:sz="6" w:space="0"/>
              <w:right w:val="outset" w:color="auto" w:sz="6" w:space="0"/>
            </w:tcBorders>
            <w:vAlign w:val="center"/>
          </w:tcPr>
          <w:p w14:paraId="66C30D66">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p>
        </w:tc>
        <w:tc>
          <w:tcPr>
            <w:tcW w:w="1436" w:type="dxa"/>
            <w:tcBorders>
              <w:top w:val="outset" w:color="auto" w:sz="6" w:space="0"/>
              <w:left w:val="outset" w:color="auto" w:sz="6" w:space="0"/>
              <w:bottom w:val="outset" w:color="auto" w:sz="6" w:space="0"/>
              <w:right w:val="outset" w:color="auto" w:sz="6" w:space="0"/>
            </w:tcBorders>
            <w:vAlign w:val="center"/>
          </w:tcPr>
          <w:p w14:paraId="34A57B15">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p>
        </w:tc>
        <w:tc>
          <w:tcPr>
            <w:tcW w:w="1250" w:type="dxa"/>
            <w:tcBorders>
              <w:top w:val="outset" w:color="auto" w:sz="6" w:space="0"/>
              <w:left w:val="outset" w:color="auto" w:sz="6" w:space="0"/>
              <w:bottom w:val="outset" w:color="auto" w:sz="6" w:space="0"/>
              <w:right w:val="outset" w:color="auto" w:sz="6" w:space="0"/>
            </w:tcBorders>
            <w:vAlign w:val="center"/>
          </w:tcPr>
          <w:p w14:paraId="00F2720A">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p>
        </w:tc>
        <w:tc>
          <w:tcPr>
            <w:tcW w:w="944" w:type="dxa"/>
            <w:tcBorders>
              <w:top w:val="outset" w:color="auto" w:sz="6" w:space="0"/>
              <w:left w:val="outset" w:color="auto" w:sz="6" w:space="0"/>
              <w:bottom w:val="outset" w:color="auto" w:sz="6" w:space="0"/>
              <w:right w:val="outset" w:color="auto" w:sz="6" w:space="0"/>
            </w:tcBorders>
            <w:vAlign w:val="center"/>
          </w:tcPr>
          <w:p w14:paraId="3B3233AD">
            <w:pPr>
              <w:spacing w:before="100" w:beforeAutospacing="1" w:after="100" w:afterAutospacing="1" w:line="276" w:lineRule="auto"/>
              <w:jc w:val="center"/>
              <w:rPr>
                <w:rFonts w:hint="default" w:ascii="Times New Roman" w:hAnsi="Times New Roman" w:eastAsia="Times New Roman" w:cs="Times New Roman"/>
                <w:color w:val="000000"/>
                <w:sz w:val="24"/>
                <w:szCs w:val="24"/>
                <w:lang w:val="en-US" w:eastAsia="pt-BR"/>
              </w:rPr>
            </w:pPr>
          </w:p>
        </w:tc>
        <w:tc>
          <w:tcPr>
            <w:tcW w:w="1208" w:type="dxa"/>
            <w:tcBorders>
              <w:top w:val="outset" w:color="auto" w:sz="6" w:space="0"/>
              <w:left w:val="outset" w:color="auto" w:sz="6" w:space="0"/>
              <w:bottom w:val="outset" w:color="auto" w:sz="6" w:space="0"/>
              <w:right w:val="outset" w:color="auto" w:sz="6" w:space="0"/>
            </w:tcBorders>
            <w:vAlign w:val="center"/>
          </w:tcPr>
          <w:p w14:paraId="7A215D9A">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p>
        </w:tc>
      </w:tr>
      <w:tr w14:paraId="5CB414E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8" w:hRule="atLeast"/>
          <w:tblCellSpacing w:w="0" w:type="dxa"/>
        </w:trPr>
        <w:tc>
          <w:tcPr>
            <w:tcW w:w="840" w:type="dxa"/>
            <w:tcBorders>
              <w:top w:val="outset" w:color="auto" w:sz="6" w:space="0"/>
              <w:left w:val="outset" w:color="auto" w:sz="6" w:space="0"/>
              <w:bottom w:val="outset" w:color="auto" w:sz="6" w:space="0"/>
              <w:right w:val="outset" w:color="auto" w:sz="6" w:space="0"/>
            </w:tcBorders>
            <w:vAlign w:val="center"/>
          </w:tcPr>
          <w:p w14:paraId="7FA48420">
            <w:pPr>
              <w:spacing w:before="100" w:beforeAutospacing="1" w:after="100" w:afterAutospacing="1" w:line="276" w:lineRule="auto"/>
              <w:rPr>
                <w:rFonts w:hint="default" w:ascii="Times New Roman" w:hAnsi="Times New Roman" w:eastAsia="Times New Roman" w:cs="Times New Roman"/>
                <w:color w:val="000000"/>
                <w:sz w:val="24"/>
                <w:szCs w:val="24"/>
                <w:lang w:val="en-US" w:eastAsia="pt-BR"/>
              </w:rPr>
            </w:pPr>
          </w:p>
        </w:tc>
        <w:tc>
          <w:tcPr>
            <w:tcW w:w="2827" w:type="dxa"/>
            <w:tcBorders>
              <w:top w:val="outset" w:color="auto" w:sz="6" w:space="0"/>
              <w:left w:val="outset" w:color="auto" w:sz="6" w:space="0"/>
              <w:bottom w:val="outset" w:color="auto" w:sz="6" w:space="0"/>
              <w:right w:val="outset" w:color="auto" w:sz="6" w:space="0"/>
            </w:tcBorders>
            <w:vAlign w:val="center"/>
          </w:tcPr>
          <w:p w14:paraId="71134E9D">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436" w:type="dxa"/>
            <w:tcBorders>
              <w:top w:val="outset" w:color="auto" w:sz="6" w:space="0"/>
              <w:left w:val="outset" w:color="auto" w:sz="6" w:space="0"/>
              <w:bottom w:val="outset" w:color="auto" w:sz="6" w:space="0"/>
              <w:right w:val="outset" w:color="auto" w:sz="6" w:space="0"/>
            </w:tcBorders>
            <w:vAlign w:val="center"/>
          </w:tcPr>
          <w:p w14:paraId="5031BEDF">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50" w:type="dxa"/>
            <w:tcBorders>
              <w:top w:val="outset" w:color="auto" w:sz="6" w:space="0"/>
              <w:left w:val="outset" w:color="auto" w:sz="6" w:space="0"/>
              <w:bottom w:val="outset" w:color="auto" w:sz="6" w:space="0"/>
              <w:right w:val="outset" w:color="auto" w:sz="6" w:space="0"/>
            </w:tcBorders>
            <w:vAlign w:val="center"/>
          </w:tcPr>
          <w:p w14:paraId="5F0A05FA">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944" w:type="dxa"/>
            <w:tcBorders>
              <w:top w:val="outset" w:color="auto" w:sz="6" w:space="0"/>
              <w:left w:val="outset" w:color="auto" w:sz="6" w:space="0"/>
              <w:bottom w:val="outset" w:color="auto" w:sz="6" w:space="0"/>
              <w:right w:val="outset" w:color="auto" w:sz="6" w:space="0"/>
            </w:tcBorders>
            <w:vAlign w:val="center"/>
          </w:tcPr>
          <w:p w14:paraId="1B038AA4">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08" w:type="dxa"/>
            <w:tcBorders>
              <w:top w:val="outset" w:color="auto" w:sz="6" w:space="0"/>
              <w:left w:val="outset" w:color="auto" w:sz="6" w:space="0"/>
              <w:bottom w:val="outset" w:color="auto" w:sz="6" w:space="0"/>
              <w:right w:val="outset" w:color="auto" w:sz="6" w:space="0"/>
            </w:tcBorders>
            <w:vAlign w:val="center"/>
          </w:tcPr>
          <w:p w14:paraId="17CB79ED">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r>
      <w:tr w14:paraId="18BA3D2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8" w:hRule="atLeast"/>
          <w:tblCellSpacing w:w="0" w:type="dxa"/>
        </w:trPr>
        <w:tc>
          <w:tcPr>
            <w:tcW w:w="840" w:type="dxa"/>
            <w:tcBorders>
              <w:top w:val="outset" w:color="auto" w:sz="6" w:space="0"/>
              <w:left w:val="outset" w:color="auto" w:sz="6" w:space="0"/>
              <w:bottom w:val="outset" w:color="auto" w:sz="6" w:space="0"/>
              <w:right w:val="outset" w:color="auto" w:sz="6" w:space="0"/>
            </w:tcBorders>
            <w:vAlign w:val="center"/>
          </w:tcPr>
          <w:p w14:paraId="3F338CBC">
            <w:pPr>
              <w:spacing w:before="100" w:beforeAutospacing="1" w:after="100" w:afterAutospacing="1" w:line="276" w:lineRule="auto"/>
              <w:rPr>
                <w:rFonts w:hint="default" w:ascii="Times New Roman" w:hAnsi="Times New Roman" w:eastAsia="Times New Roman" w:cs="Times New Roman"/>
                <w:color w:val="000000"/>
                <w:sz w:val="24"/>
                <w:szCs w:val="24"/>
                <w:lang w:val="en-US" w:eastAsia="pt-BR"/>
              </w:rPr>
            </w:pPr>
          </w:p>
        </w:tc>
        <w:tc>
          <w:tcPr>
            <w:tcW w:w="2827" w:type="dxa"/>
            <w:tcBorders>
              <w:top w:val="outset" w:color="auto" w:sz="6" w:space="0"/>
              <w:left w:val="outset" w:color="auto" w:sz="6" w:space="0"/>
              <w:bottom w:val="outset" w:color="auto" w:sz="6" w:space="0"/>
              <w:right w:val="outset" w:color="auto" w:sz="6" w:space="0"/>
            </w:tcBorders>
            <w:vAlign w:val="center"/>
          </w:tcPr>
          <w:p w14:paraId="320978DE">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436" w:type="dxa"/>
            <w:tcBorders>
              <w:top w:val="outset" w:color="auto" w:sz="6" w:space="0"/>
              <w:left w:val="outset" w:color="auto" w:sz="6" w:space="0"/>
              <w:bottom w:val="outset" w:color="auto" w:sz="6" w:space="0"/>
              <w:right w:val="outset" w:color="auto" w:sz="6" w:space="0"/>
            </w:tcBorders>
            <w:vAlign w:val="center"/>
          </w:tcPr>
          <w:p w14:paraId="133CE2A7">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50" w:type="dxa"/>
            <w:tcBorders>
              <w:top w:val="outset" w:color="auto" w:sz="6" w:space="0"/>
              <w:left w:val="outset" w:color="auto" w:sz="6" w:space="0"/>
              <w:bottom w:val="outset" w:color="auto" w:sz="6" w:space="0"/>
              <w:right w:val="outset" w:color="auto" w:sz="6" w:space="0"/>
            </w:tcBorders>
            <w:vAlign w:val="center"/>
          </w:tcPr>
          <w:p w14:paraId="19323B08">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944" w:type="dxa"/>
            <w:tcBorders>
              <w:top w:val="outset" w:color="auto" w:sz="6" w:space="0"/>
              <w:left w:val="outset" w:color="auto" w:sz="6" w:space="0"/>
              <w:bottom w:val="outset" w:color="auto" w:sz="6" w:space="0"/>
              <w:right w:val="outset" w:color="auto" w:sz="6" w:space="0"/>
            </w:tcBorders>
            <w:vAlign w:val="center"/>
          </w:tcPr>
          <w:p w14:paraId="42123404">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08" w:type="dxa"/>
            <w:tcBorders>
              <w:top w:val="outset" w:color="auto" w:sz="6" w:space="0"/>
              <w:left w:val="outset" w:color="auto" w:sz="6" w:space="0"/>
              <w:bottom w:val="outset" w:color="auto" w:sz="6" w:space="0"/>
              <w:right w:val="outset" w:color="auto" w:sz="6" w:space="0"/>
            </w:tcBorders>
            <w:vAlign w:val="center"/>
          </w:tcPr>
          <w:p w14:paraId="4F361567">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r>
      <w:tr w14:paraId="7B5A29F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trPr>
        <w:tc>
          <w:tcPr>
            <w:tcW w:w="840" w:type="dxa"/>
            <w:tcBorders>
              <w:top w:val="outset" w:color="auto" w:sz="6" w:space="0"/>
              <w:left w:val="outset" w:color="auto" w:sz="6" w:space="0"/>
              <w:bottom w:val="outset" w:color="auto" w:sz="6" w:space="0"/>
              <w:right w:val="outset" w:color="auto" w:sz="6" w:space="0"/>
            </w:tcBorders>
            <w:vAlign w:val="center"/>
          </w:tcPr>
          <w:p w14:paraId="3B63BDC4">
            <w:pPr>
              <w:spacing w:before="100" w:beforeAutospacing="1" w:after="100" w:afterAutospacing="1" w:line="276" w:lineRule="auto"/>
              <w:rPr>
                <w:rFonts w:hint="default" w:ascii="Times New Roman" w:hAnsi="Times New Roman" w:eastAsia="Times New Roman" w:cs="Times New Roman"/>
                <w:color w:val="000000"/>
                <w:sz w:val="24"/>
                <w:szCs w:val="24"/>
                <w:lang w:val="en-US" w:eastAsia="pt-BR"/>
              </w:rPr>
            </w:pPr>
          </w:p>
        </w:tc>
        <w:tc>
          <w:tcPr>
            <w:tcW w:w="2827" w:type="dxa"/>
            <w:tcBorders>
              <w:top w:val="outset" w:color="auto" w:sz="6" w:space="0"/>
              <w:left w:val="outset" w:color="auto" w:sz="6" w:space="0"/>
              <w:bottom w:val="outset" w:color="auto" w:sz="6" w:space="0"/>
              <w:right w:val="outset" w:color="auto" w:sz="6" w:space="0"/>
            </w:tcBorders>
            <w:vAlign w:val="center"/>
          </w:tcPr>
          <w:p w14:paraId="07F9E7CA">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436" w:type="dxa"/>
            <w:tcBorders>
              <w:top w:val="outset" w:color="auto" w:sz="6" w:space="0"/>
              <w:left w:val="outset" w:color="auto" w:sz="6" w:space="0"/>
              <w:bottom w:val="outset" w:color="auto" w:sz="6" w:space="0"/>
              <w:right w:val="outset" w:color="auto" w:sz="6" w:space="0"/>
            </w:tcBorders>
            <w:vAlign w:val="center"/>
          </w:tcPr>
          <w:p w14:paraId="434FE8C6">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50" w:type="dxa"/>
            <w:tcBorders>
              <w:top w:val="outset" w:color="auto" w:sz="6" w:space="0"/>
              <w:left w:val="outset" w:color="auto" w:sz="6" w:space="0"/>
              <w:bottom w:val="outset" w:color="auto" w:sz="6" w:space="0"/>
              <w:right w:val="outset" w:color="auto" w:sz="6" w:space="0"/>
            </w:tcBorders>
            <w:vAlign w:val="center"/>
          </w:tcPr>
          <w:p w14:paraId="6DC71616">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944" w:type="dxa"/>
            <w:tcBorders>
              <w:top w:val="outset" w:color="auto" w:sz="6" w:space="0"/>
              <w:left w:val="outset" w:color="auto" w:sz="6" w:space="0"/>
              <w:bottom w:val="outset" w:color="auto" w:sz="6" w:space="0"/>
              <w:right w:val="outset" w:color="auto" w:sz="6" w:space="0"/>
            </w:tcBorders>
            <w:vAlign w:val="center"/>
          </w:tcPr>
          <w:p w14:paraId="37D99914">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08" w:type="dxa"/>
            <w:tcBorders>
              <w:top w:val="outset" w:color="auto" w:sz="6" w:space="0"/>
              <w:left w:val="outset" w:color="auto" w:sz="6" w:space="0"/>
              <w:bottom w:val="outset" w:color="auto" w:sz="6" w:space="0"/>
              <w:right w:val="outset" w:color="auto" w:sz="6" w:space="0"/>
            </w:tcBorders>
            <w:vAlign w:val="center"/>
          </w:tcPr>
          <w:p w14:paraId="4179BEB2">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r>
      <w:tr w14:paraId="0E3B2D8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trPr>
        <w:tc>
          <w:tcPr>
            <w:tcW w:w="840" w:type="dxa"/>
            <w:tcBorders>
              <w:top w:val="outset" w:color="auto" w:sz="6" w:space="0"/>
              <w:left w:val="outset" w:color="auto" w:sz="6" w:space="0"/>
              <w:bottom w:val="outset" w:color="auto" w:sz="6" w:space="0"/>
              <w:right w:val="outset" w:color="auto" w:sz="6" w:space="0"/>
            </w:tcBorders>
            <w:vAlign w:val="center"/>
          </w:tcPr>
          <w:p w14:paraId="4DE9E4C2">
            <w:pPr>
              <w:spacing w:before="100" w:beforeAutospacing="1" w:after="100" w:afterAutospacing="1" w:line="276" w:lineRule="auto"/>
              <w:rPr>
                <w:rFonts w:hint="default" w:ascii="Times New Roman" w:hAnsi="Times New Roman" w:eastAsia="Times New Roman" w:cs="Times New Roman"/>
                <w:color w:val="000000"/>
                <w:sz w:val="24"/>
                <w:szCs w:val="24"/>
                <w:lang w:val="en-US" w:eastAsia="pt-BR"/>
              </w:rPr>
            </w:pPr>
          </w:p>
        </w:tc>
        <w:tc>
          <w:tcPr>
            <w:tcW w:w="2827" w:type="dxa"/>
            <w:tcBorders>
              <w:top w:val="outset" w:color="auto" w:sz="6" w:space="0"/>
              <w:left w:val="outset" w:color="auto" w:sz="6" w:space="0"/>
              <w:bottom w:val="outset" w:color="auto" w:sz="6" w:space="0"/>
              <w:right w:val="outset" w:color="auto" w:sz="6" w:space="0"/>
            </w:tcBorders>
            <w:vAlign w:val="center"/>
          </w:tcPr>
          <w:p w14:paraId="13CE0BF7">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436" w:type="dxa"/>
            <w:tcBorders>
              <w:top w:val="outset" w:color="auto" w:sz="6" w:space="0"/>
              <w:left w:val="outset" w:color="auto" w:sz="6" w:space="0"/>
              <w:bottom w:val="outset" w:color="auto" w:sz="6" w:space="0"/>
              <w:right w:val="outset" w:color="auto" w:sz="6" w:space="0"/>
            </w:tcBorders>
            <w:vAlign w:val="center"/>
          </w:tcPr>
          <w:p w14:paraId="34AF202D">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50" w:type="dxa"/>
            <w:tcBorders>
              <w:top w:val="outset" w:color="auto" w:sz="6" w:space="0"/>
              <w:left w:val="outset" w:color="auto" w:sz="6" w:space="0"/>
              <w:bottom w:val="outset" w:color="auto" w:sz="6" w:space="0"/>
              <w:right w:val="outset" w:color="auto" w:sz="6" w:space="0"/>
            </w:tcBorders>
            <w:vAlign w:val="center"/>
          </w:tcPr>
          <w:p w14:paraId="69DC32BD">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944" w:type="dxa"/>
            <w:tcBorders>
              <w:top w:val="outset" w:color="auto" w:sz="6" w:space="0"/>
              <w:left w:val="outset" w:color="auto" w:sz="6" w:space="0"/>
              <w:bottom w:val="outset" w:color="auto" w:sz="6" w:space="0"/>
              <w:right w:val="outset" w:color="auto" w:sz="6" w:space="0"/>
            </w:tcBorders>
            <w:vAlign w:val="center"/>
          </w:tcPr>
          <w:p w14:paraId="5822B119">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08" w:type="dxa"/>
            <w:tcBorders>
              <w:top w:val="outset" w:color="auto" w:sz="6" w:space="0"/>
              <w:left w:val="outset" w:color="auto" w:sz="6" w:space="0"/>
              <w:bottom w:val="outset" w:color="auto" w:sz="6" w:space="0"/>
              <w:right w:val="outset" w:color="auto" w:sz="6" w:space="0"/>
            </w:tcBorders>
            <w:vAlign w:val="center"/>
          </w:tcPr>
          <w:p w14:paraId="1D9E5FFA">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r>
    </w:tbl>
    <w:p w14:paraId="2D0917A6">
      <w:pPr>
        <w:shd w:val="clear" w:color="auto" w:fill="E6E6E6"/>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3. DOS ÓRGÃOS PARTICIPANTES</w:t>
      </w:r>
    </w:p>
    <w:p w14:paraId="20050C8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3.1. O órgão gerenciador será a Fundação Universidade Federal de Pelotas.</w:t>
      </w:r>
    </w:p>
    <w:p w14:paraId="3E5923C1">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3.2. Além do gerenciador, não há órgãos e entidades públicas participantes do registro de preços:</w:t>
      </w:r>
    </w:p>
    <w:p w14:paraId="617C3935">
      <w:pPr>
        <w:spacing w:before="120" w:after="120" w:line="276" w:lineRule="auto"/>
        <w:ind w:left="120" w:right="120"/>
        <w:jc w:val="both"/>
        <w:rPr>
          <w:rFonts w:ascii="Times New Roman" w:hAnsi="Times New Roman" w:eastAsia="Times New Roman" w:cs="Times New Roman"/>
          <w:color w:val="000000"/>
          <w:sz w:val="24"/>
          <w:szCs w:val="24"/>
          <w:lang w:eastAsia="pt-BR"/>
        </w:rPr>
      </w:pPr>
    </w:p>
    <w:p w14:paraId="5729D768">
      <w:pPr>
        <w:shd w:val="clear" w:color="auto" w:fill="E6E6E6"/>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 DA ADESÃO À ATA DE REGISTRO DE PREÇOS </w:t>
      </w:r>
    </w:p>
    <w:p w14:paraId="6012EEA2">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C82610A">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4.1.1. apresentação de justificativa da vantagem da adesão, inclusive em situações de provável desabastecimento ou descontinuidade de serviço público;</w:t>
      </w:r>
    </w:p>
    <w:p w14:paraId="3CB686F2">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4.1.2. demonstração de que os valores registrados estão compatíveis com os valores praticados pelo mercado na forma do art. 23 da Lei nº 14.133, de 2021; e</w:t>
      </w:r>
    </w:p>
    <w:p w14:paraId="67561DAC">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4.1.3.  consulta e aceitação prévias do órgão ou da entidade gerenciadora e do fornecedor.</w:t>
      </w:r>
    </w:p>
    <w:p w14:paraId="1925320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4.2. A autorização do órgão ou entidade gerenciadora apenas será realizada após a aceitação da adesão pelo fornecedor.</w:t>
      </w:r>
    </w:p>
    <w:p w14:paraId="3FE146A0">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4.2.1. O órgão ou entidade gerenciadora poderá rejeitar adesões caso elas possam acarretar prejuízo à execução de seus próprios contratos ou à sua capacidade de gerenciamento.</w:t>
      </w:r>
    </w:p>
    <w:p w14:paraId="6A73BBC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4.3. Após a autorização do órgão ou da entidade gerenciadora, o órgão ou entidade não participante deverá efetivar a aquisição ou a contratação solicitada em até noventa dias, observado o prazo de vigência da ata.</w:t>
      </w:r>
    </w:p>
    <w:p w14:paraId="7E24B56B">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DFB811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4.5. O órgão ou a entidade poderá aderir a item da ata de registro de preços da qual seja integrante, na qualidade de não participante, para aqueles itens para os quais não tenha quantitativo registrado, observados os requisitos do item 4.1.</w:t>
      </w:r>
    </w:p>
    <w:p w14:paraId="04563644">
      <w:pPr>
        <w:spacing w:before="100" w:beforeAutospacing="1" w:after="100" w:afterAutospacing="1" w:line="276" w:lineRule="auto"/>
        <w:rPr>
          <w:rFonts w:ascii="Times New Roman" w:hAnsi="Times New Roman" w:eastAsia="Times New Roman" w:cs="Times New Roman"/>
          <w:color w:val="000000"/>
          <w:sz w:val="24"/>
          <w:szCs w:val="24"/>
          <w:lang w:eastAsia="pt-BR"/>
        </w:rPr>
      </w:pPr>
      <w:r>
        <w:rPr>
          <w:rFonts w:ascii="Times New Roman" w:hAnsi="Times New Roman" w:eastAsia="Times New Roman" w:cs="Times New Roman"/>
          <w:b/>
          <w:bCs/>
          <w:color w:val="000000"/>
          <w:sz w:val="24"/>
          <w:szCs w:val="24"/>
          <w:lang w:eastAsia="pt-BR"/>
        </w:rPr>
        <w:t>Dos limites para as adesões</w:t>
      </w:r>
    </w:p>
    <w:p w14:paraId="046147D6">
      <w:pPr>
        <w:spacing w:line="276" w:lineRule="auto"/>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675EE0D9">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0976D3B8">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4.8.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14:paraId="177C5FBE">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4.9.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1C4F780D">
      <w:pPr>
        <w:spacing w:before="100" w:beforeAutospacing="1" w:after="100" w:afterAutospacing="1" w:line="276" w:lineRule="auto"/>
        <w:rPr>
          <w:rFonts w:ascii="Times New Roman" w:hAnsi="Times New Roman" w:eastAsia="Times New Roman" w:cs="Times New Roman"/>
          <w:color w:val="000000"/>
          <w:sz w:val="24"/>
          <w:szCs w:val="24"/>
          <w:lang w:eastAsia="pt-BR"/>
        </w:rPr>
      </w:pPr>
      <w:r>
        <w:rPr>
          <w:rFonts w:ascii="Times New Roman" w:hAnsi="Times New Roman" w:eastAsia="Times New Roman" w:cs="Times New Roman"/>
          <w:b/>
          <w:bCs/>
          <w:color w:val="000000"/>
          <w:sz w:val="24"/>
          <w:szCs w:val="24"/>
          <w:lang w:eastAsia="pt-BR"/>
        </w:rPr>
        <w:t>Vedação a acréscimo de quantitativos</w:t>
      </w:r>
    </w:p>
    <w:p w14:paraId="3EBC89DA">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4.10. É vedado efetuar acréscimos nos quantitativos fixados na ata de registro de preços.</w:t>
      </w:r>
    </w:p>
    <w:p w14:paraId="03DEE113">
      <w:pPr>
        <w:spacing w:before="120" w:after="120" w:line="276" w:lineRule="auto"/>
        <w:ind w:left="120" w:right="120" w:firstLine="1418"/>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w:t>
      </w:r>
    </w:p>
    <w:p w14:paraId="2BE14D22">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 xml:space="preserve">5. </w:t>
      </w:r>
      <w:r>
        <w:rPr>
          <w:rStyle w:val="4"/>
          <w:rFonts w:hint="default" w:ascii="Times New Roman" w:hAnsi="Times New Roman" w:eastAsia="SimSun" w:cs="Times New Roman"/>
          <w:i w:val="0"/>
          <w:iCs w:val="0"/>
          <w:caps/>
          <w:color w:val="000000"/>
          <w:spacing w:val="0"/>
          <w:sz w:val="24"/>
          <w:szCs w:val="24"/>
        </w:rPr>
        <w:t>DA VALIDADE</w:t>
      </w:r>
      <w:r>
        <w:rPr>
          <w:rFonts w:hint="default" w:ascii="Times New Roman" w:hAnsi="Times New Roman" w:eastAsia="SimSun" w:cs="Times New Roman"/>
          <w:b/>
          <w:bCs/>
          <w:i w:val="0"/>
          <w:iCs w:val="0"/>
          <w:caps/>
          <w:color w:val="000000"/>
          <w:spacing w:val="0"/>
          <w:sz w:val="24"/>
          <w:szCs w:val="24"/>
          <w:shd w:val="clear" w:fill="E6E6E6"/>
        </w:rPr>
        <w:t>, FORMALIZAÇÃO DA ATA DE REGISTRO DE PREÇOS E CADASTRO RESERVA</w:t>
      </w:r>
    </w:p>
    <w:p w14:paraId="5AF58C10">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1C08AB95">
      <w:pPr>
        <w:spacing w:before="120" w:after="120" w:line="276" w:lineRule="auto"/>
        <w:ind w:right="120" w:firstLine="708" w:firstLineChars="0"/>
        <w:jc w:val="both"/>
        <w:rPr>
          <w:rFonts w:ascii="Times New Roman" w:hAnsi="Times New Roman" w:eastAsia="Times New Roman" w:cs="Times New Roman"/>
          <w:color w:val="000000"/>
          <w:sz w:val="24"/>
          <w:szCs w:val="24"/>
          <w:lang w:eastAsia="pt-BR"/>
        </w:rPr>
      </w:pPr>
      <w:r>
        <w:rPr>
          <w:rFonts w:hint="default" w:ascii="Times New Roman" w:hAnsi="Times New Roman" w:eastAsia="SimSun" w:cs="Times New Roman"/>
          <w:i w:val="0"/>
          <w:iCs w:val="0"/>
          <w:caps w:val="0"/>
          <w:color w:val="000000"/>
          <w:spacing w:val="0"/>
          <w:sz w:val="24"/>
          <w:szCs w:val="24"/>
          <w:lang w:val="pt-BR"/>
        </w:rPr>
        <w:t xml:space="preserve">5.1.1. </w:t>
      </w:r>
      <w:r>
        <w:rPr>
          <w:rFonts w:hint="default" w:ascii="Times New Roman" w:hAnsi="Times New Roman" w:eastAsia="SimSun" w:cs="Times New Roman"/>
          <w:i w:val="0"/>
          <w:iCs w:val="0"/>
          <w:caps w:val="0"/>
          <w:color w:val="000000"/>
          <w:spacing w:val="0"/>
          <w:sz w:val="24"/>
          <w:szCs w:val="24"/>
        </w:rPr>
        <w:t xml:space="preserve">Em caso de prorrogação da ata, poderá ser renovado o quantitativo </w:t>
      </w:r>
      <w:r>
        <w:rPr>
          <w:rFonts w:hint="default" w:ascii="Times New Roman" w:hAnsi="Times New Roman" w:eastAsia="SimSun" w:cs="Times New Roman"/>
          <w:i w:val="0"/>
          <w:iCs w:val="0"/>
          <w:caps w:val="0"/>
          <w:color w:val="000000"/>
          <w:spacing w:val="0"/>
          <w:sz w:val="24"/>
          <w:szCs w:val="24"/>
          <w:lang w:val="pt-BR"/>
        </w:rPr>
        <w:tab/>
      </w:r>
      <w:r>
        <w:rPr>
          <w:rFonts w:hint="default" w:ascii="Times New Roman" w:hAnsi="Times New Roman" w:eastAsia="SimSun" w:cs="Times New Roman"/>
          <w:i w:val="0"/>
          <w:iCs w:val="0"/>
          <w:caps w:val="0"/>
          <w:color w:val="000000"/>
          <w:spacing w:val="0"/>
          <w:sz w:val="24"/>
          <w:szCs w:val="24"/>
        </w:rPr>
        <w:t>originalmente registrado.  </w:t>
      </w:r>
    </w:p>
    <w:p w14:paraId="09934F18">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w:t>
      </w:r>
      <w:r>
        <w:rPr>
          <w:rFonts w:hint="default" w:ascii="Times New Roman" w:hAnsi="Times New Roman" w:eastAsia="Times New Roman" w:cs="Times New Roman"/>
          <w:color w:val="000000"/>
          <w:sz w:val="24"/>
          <w:szCs w:val="24"/>
          <w:lang w:val="en-US" w:eastAsia="pt-BR"/>
        </w:rPr>
        <w:t>2</w:t>
      </w:r>
      <w:r>
        <w:rPr>
          <w:rFonts w:ascii="Times New Roman" w:hAnsi="Times New Roman" w:eastAsia="Times New Roman" w:cs="Times New Roman"/>
          <w:color w:val="000000"/>
          <w:sz w:val="24"/>
          <w:szCs w:val="24"/>
          <w:lang w:eastAsia="pt-BR"/>
        </w:rPr>
        <w:t>.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F3DE546">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w:t>
      </w:r>
      <w:r>
        <w:rPr>
          <w:rFonts w:hint="default" w:ascii="Times New Roman" w:hAnsi="Times New Roman" w:eastAsia="Times New Roman" w:cs="Times New Roman"/>
          <w:color w:val="000000"/>
          <w:sz w:val="24"/>
          <w:szCs w:val="24"/>
          <w:lang w:val="en-US" w:eastAsia="pt-BR"/>
        </w:rPr>
        <w:t>.3</w:t>
      </w:r>
      <w:r>
        <w:rPr>
          <w:rFonts w:ascii="Times New Roman" w:hAnsi="Times New Roman" w:eastAsia="Times New Roman" w:cs="Times New Roman"/>
          <w:color w:val="000000"/>
          <w:sz w:val="24"/>
          <w:szCs w:val="24"/>
          <w:lang w:eastAsia="pt-BR"/>
        </w:rPr>
        <w:t>. Na formalização do contrato ou do instrumento substituto deverá haver a indicação da disponibilidade dos créditos orçamentários respectivos.</w:t>
      </w:r>
    </w:p>
    <w:p w14:paraId="697B61B4">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50F070BF">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5.2.1. O instrumento contratual de que trata o item 5.2 deverá ser assinado no prazo de validade da ata de registro de preços.</w:t>
      </w:r>
    </w:p>
    <w:p w14:paraId="4E0DE792">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5.3. Os contratos decorrentes do sistema de registro de preços poderão ser alterados, observado o art. 124 da Lei nº 14.133, de 2021.</w:t>
      </w:r>
    </w:p>
    <w:p w14:paraId="5F1BC226">
      <w:pPr>
        <w:tabs>
          <w:tab w:val="left" w:pos="567"/>
        </w:tabs>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5.4. Após a homologação da licitação, deverão ser observadas as seguintes condições para formalização da ata de registro de preços:</w:t>
      </w:r>
    </w:p>
    <w:p w14:paraId="2F992EA5">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5.4.1. Serão registrados na ata os preços e os quantitativos do adjudicatário, devendo ser observada a possibilidade de o licitante oferecer ou não proposta em quantitativo inferior ao máximo previsto no edital e se obrigar nos limites dela;</w:t>
      </w:r>
    </w:p>
    <w:p w14:paraId="3C7E1C38">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5.4.2. Será incluído na ata, na forma de anexo, o registro dos licitantes ou dos fornecedores que:</w:t>
      </w:r>
    </w:p>
    <w:p w14:paraId="24D3DC54">
      <w:pPr>
        <w:spacing w:before="120" w:after="120" w:line="276" w:lineRule="auto"/>
        <w:ind w:left="12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5.4.2.1. Aceitarem cotar os bens, as obras ou os serviços com preços iguais aos do adjudicatário, observada a classificação da licitação; e</w:t>
      </w:r>
    </w:p>
    <w:p w14:paraId="6B03ABA2">
      <w:pPr>
        <w:spacing w:before="120" w:after="120" w:line="276" w:lineRule="auto"/>
        <w:ind w:left="12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5.4.2.2. Mantiverem sua proposta original.</w:t>
      </w:r>
    </w:p>
    <w:p w14:paraId="586059B8">
      <w:pPr>
        <w:spacing w:before="120" w:after="120" w:line="276" w:lineRule="auto"/>
        <w:ind w:left="709"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5.4.3. Será respeitada, nas contratações, a ordem de classificação dos licitantes ou dos fornecedores registrados na ata.</w:t>
      </w:r>
    </w:p>
    <w:p w14:paraId="472FF611">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5.5. O registro a que se refere o item 5.4.2 tem por objetivo a formação de cadastro de reserva para o caso de impossibilidade de atendimento pelo signatário da ata</w:t>
      </w:r>
    </w:p>
    <w:p w14:paraId="49CF0F05">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5.6. Para fins da ordem de classificação, os licitantes ou fornecedores que aceitarem reduzir suas propostas para o preço do adjudicatário antecederão aqueles que mantiverem sua proposta original.</w:t>
      </w:r>
    </w:p>
    <w:p w14:paraId="100C8505">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5.7.  habilitação dos licitantes que comporão o cadastro de reserva a que se refere o item 5.4.2.2 somente será efetuada quando houver necessidade de contratação dos licitantes remanescentes, nas seguintes hipóteses:</w:t>
      </w:r>
    </w:p>
    <w:p w14:paraId="34C1F632">
      <w:pPr>
        <w:pStyle w:val="12"/>
        <w:spacing w:before="120" w:beforeAutospacing="0" w:after="120" w:afterAutospacing="0" w:line="276" w:lineRule="auto"/>
        <w:ind w:left="600" w:right="120"/>
        <w:jc w:val="both"/>
        <w:rPr>
          <w:color w:val="000000"/>
        </w:rPr>
      </w:pPr>
      <w:r>
        <w:rPr>
          <w:color w:val="000000"/>
        </w:rPr>
        <w:t>5.7.1. Quando o licitante vencedor não assinar a ata de registro de preços, no prazo e nas condições estabelecidos no edital; e</w:t>
      </w:r>
    </w:p>
    <w:p w14:paraId="33572098">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5.7.2. Quando houver o cancelamento do registro do licitante ou do registro de preços nas hipóteses previstas no item 9.</w:t>
      </w:r>
    </w:p>
    <w:p w14:paraId="13A191B8">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5.8. O preço registrado com indicação dos licitantes e fornecedores será divulgado no PNCP e ficará disponibilizado durante a vigência da ata de registro de preços.</w:t>
      </w:r>
    </w:p>
    <w:p w14:paraId="536C2F96">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5.9. Após o encerramento da fase de julgamento das propostas, o licitante mais bem classificado, será convocado para enviar a ata de registro de preços devidamente preenchida e assinada, no prazo e nas condições estabelecidos no edital de licitação, sob pena de desclassificação.</w:t>
      </w:r>
    </w:p>
    <w:p w14:paraId="1A38338E">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08D9BA4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5.10. A ata de registro de preços será assinada por meio de assinatura digital e disponibilizada no Sistema de Registro de Preços.</w:t>
      </w:r>
    </w:p>
    <w:p w14:paraId="451AAE62">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5.11. Quando o convocado não assinar a ata de registro de preços no prazo e nas condições estabelecidos no edital,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14:paraId="3980C84F">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5.12. Na hipótese de nenhum dos licitantes que trata o item 5.4.2.1, aceitar a contratação nos termos do item anterior, a Administração, observados o valor estimado e sua eventual atualização nos termos do edital, poderá:</w:t>
      </w:r>
    </w:p>
    <w:p w14:paraId="3F9D2B18">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5E022D33">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5.12.2. Adjudicar e firmar o contrato nas condições ofertadas pelos licitantes ou fornecedores remanescentes, atendida a ordem classificatória, quando frustrada a negociação de melhor condição.</w:t>
      </w:r>
    </w:p>
    <w:p w14:paraId="0580EB0C">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D20AB82">
      <w:pPr>
        <w:spacing w:before="120" w:after="120" w:line="276" w:lineRule="auto"/>
        <w:ind w:left="120" w:right="120" w:firstLine="1418"/>
        <w:jc w:val="both"/>
        <w:rPr>
          <w:rFonts w:ascii="Times New Roman" w:hAnsi="Times New Roman" w:eastAsia="Times New Roman" w:cs="Times New Roman"/>
          <w:color w:val="000000"/>
          <w:sz w:val="24"/>
          <w:szCs w:val="24"/>
          <w:lang w:eastAsia="pt-BR"/>
        </w:rPr>
      </w:pPr>
    </w:p>
    <w:p w14:paraId="75950E78">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6. A</w:t>
      </w:r>
      <w:r>
        <w:rPr>
          <w:rFonts w:hint="default" w:ascii="Times New Roman" w:hAnsi="Times New Roman" w:eastAsia="SimSun" w:cs="Times New Roman"/>
          <w:b/>
          <w:bCs/>
          <w:i w:val="0"/>
          <w:iCs w:val="0"/>
          <w:caps/>
          <w:color w:val="000000"/>
          <w:spacing w:val="0"/>
          <w:sz w:val="24"/>
          <w:szCs w:val="24"/>
          <w:shd w:val="clear" w:fill="E6E6E6"/>
        </w:rPr>
        <w:t>DA ALTERAÇÃO OU ATUALIZAÇÃO DOS PREÇOS REGISTRADOS </w:t>
      </w:r>
    </w:p>
    <w:p w14:paraId="4DF4B7CE">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14:paraId="33CF246E">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C7CD770">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6.1.2. Em caso de criação, alteração ou extinção de quaisquer tributos ou encargos legais ou a superveniência de disposições legais, com comprovada repercussão sobre os preços registrados;</w:t>
      </w:r>
    </w:p>
    <w:p w14:paraId="0694E5F2">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6.1.3. Na hipótese de previsão no edital ou no aviso de contratação direta de cláusula de reajustamento ou repactuação sobre os preços registrados, nos termos da Lei nº 14.133, de 2021.</w:t>
      </w:r>
    </w:p>
    <w:p w14:paraId="13A81B14">
      <w:pPr>
        <w:spacing w:before="120" w:after="120" w:line="276" w:lineRule="auto"/>
        <w:ind w:left="18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6.1.3.1. No caso do reajustamento, deverá ser respeitada a contagem da anualidade e o índice previstos para a contratação; </w:t>
      </w:r>
    </w:p>
    <w:p w14:paraId="7A448303">
      <w:pPr>
        <w:spacing w:before="120" w:after="120" w:line="276" w:lineRule="auto"/>
        <w:ind w:left="18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6.1.3.2. No caso da repactuação, poderá ser a pedido do interessado, conforme critérios definidos para a contratação.</w:t>
      </w:r>
    </w:p>
    <w:p w14:paraId="56B28C39">
      <w:pPr>
        <w:spacing w:before="120" w:after="120" w:line="276" w:lineRule="auto"/>
        <w:ind w:left="1800" w:right="120"/>
        <w:jc w:val="both"/>
        <w:rPr>
          <w:rFonts w:ascii="Times New Roman" w:hAnsi="Times New Roman" w:eastAsia="Times New Roman" w:cs="Times New Roman"/>
          <w:color w:val="000000"/>
          <w:sz w:val="24"/>
          <w:szCs w:val="24"/>
          <w:lang w:eastAsia="pt-BR"/>
        </w:rPr>
      </w:pPr>
    </w:p>
    <w:p w14:paraId="7DE293FB">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7. NEGOCIAÇÃO DE PREÇOS REGISTRADOS</w:t>
      </w:r>
    </w:p>
    <w:p w14:paraId="4F393FB6">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14:paraId="21AFA771">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7.1.1. Caso não aceite reduzir seu preço aos valores praticados pelo mercado, o fornecedor será liberado do compromisso assumido quanto ao item registrado, sem aplicação de penalidades administrativas, caso a comunicação ocorra antes do envio da nota de empenho.</w:t>
      </w:r>
    </w:p>
    <w:p w14:paraId="3A543BDF">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4BB8BEDE">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7.1.3. Se não obtiver êxito nas negociações, o órgão ou entidade gerenciadora procederá ao cancelamento da ata de registro de preços, adotando as medidas cabíveis para obtenção de contratação mais vantajosa.</w:t>
      </w:r>
      <w:bookmarkStart w:id="0" w:name="reducao_preco_mercado_negociacao_frustra"/>
      <w:bookmarkEnd w:id="0"/>
    </w:p>
    <w:p w14:paraId="62E0DD3D">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04571D28">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 w:name="hipotese_preco_mercado_maior"/>
      <w:bookmarkEnd w:id="1"/>
    </w:p>
    <w:p w14:paraId="438727AC">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7.2.1. Neste caso, o fornecedor encaminhará, juntamente com o pedido de alteração, a documentação comprobatória ou a planilha de custos que demonstre a inviabilidade do preço registrado em relação às condições inicialmente pactuadas.</w:t>
      </w:r>
      <w:bookmarkStart w:id="2" w:name="prova_preco_mercado_maior"/>
      <w:bookmarkEnd w:id="2"/>
    </w:p>
    <w:p w14:paraId="1B10BCDD">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3" w:name="nao_comprovacao_majoracao_mercado"/>
      <w:bookmarkEnd w:id="3"/>
    </w:p>
    <w:p w14:paraId="72DC15F0">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5.5.</w:t>
      </w:r>
    </w:p>
    <w:p w14:paraId="69574ACC">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bookmarkStart w:id="4" w:name="majora_preco_mercado_negociacao_frustra"/>
      <w:bookmarkEnd w:id="4"/>
    </w:p>
    <w:p w14:paraId="5023327F">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 caso a comunicação ocorra antes do envio da nota de empenho.</w:t>
      </w:r>
    </w:p>
    <w:p w14:paraId="5D38B7AA">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0EA18919">
      <w:pPr>
        <w:spacing w:before="120" w:after="120" w:line="276" w:lineRule="auto"/>
        <w:ind w:left="600" w:right="120"/>
        <w:jc w:val="both"/>
        <w:rPr>
          <w:rFonts w:ascii="Times New Roman" w:hAnsi="Times New Roman" w:eastAsia="Times New Roman" w:cs="Times New Roman"/>
          <w:color w:val="000000"/>
          <w:sz w:val="24"/>
          <w:szCs w:val="24"/>
          <w:lang w:eastAsia="pt-BR"/>
        </w:rPr>
      </w:pPr>
    </w:p>
    <w:p w14:paraId="4AB1E6B9">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 xml:space="preserve">8. </w:t>
      </w:r>
      <w:r>
        <w:rPr>
          <w:rFonts w:hint="default" w:ascii="Times New Roman" w:hAnsi="Times New Roman" w:eastAsia="SimSun" w:cs="Times New Roman"/>
          <w:b/>
          <w:bCs/>
          <w:i w:val="0"/>
          <w:iCs w:val="0"/>
          <w:caps/>
          <w:color w:val="000000"/>
          <w:spacing w:val="0"/>
          <w:sz w:val="24"/>
          <w:szCs w:val="24"/>
        </w:rPr>
        <w:t>DO REMANEJAMENTO DAS QUANTIDADES REGISTRADAS NA ATA DE REGISTRO DE PREÇOS</w:t>
      </w:r>
      <w:r>
        <w:rPr>
          <w:rFonts w:hint="default" w:ascii="Times New Roman" w:hAnsi="Times New Roman" w:eastAsia="SimSun" w:cs="Times New Roman"/>
          <w:b/>
          <w:bCs/>
          <w:i w:val="0"/>
          <w:iCs w:val="0"/>
          <w:caps/>
          <w:color w:val="000000"/>
          <w:spacing w:val="0"/>
          <w:sz w:val="24"/>
          <w:szCs w:val="24"/>
          <w:shd w:val="clear" w:fill="E6E6E6"/>
        </w:rPr>
        <w:t> </w:t>
      </w:r>
    </w:p>
    <w:p w14:paraId="4A9C7B9E">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476C4E98">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8.2. O remanejamento somente poderá ser feito:</w:t>
      </w:r>
    </w:p>
    <w:p w14:paraId="7B37307E">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8.2.1. De órgão ou entidade participante para órgão ou entidade participante; ou</w:t>
      </w:r>
    </w:p>
    <w:p w14:paraId="3C9AA8F9">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8.2.2. De órgão ou entidade participante para órgão ou entidade não participante.</w:t>
      </w:r>
    </w:p>
    <w:p w14:paraId="3167DAD2">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8.3. O órgão ou entidade gerenciadora que tiver estimado as quantidades que pretende contratar será considerado participante para efeito do remanejamento.</w:t>
      </w:r>
      <w:bookmarkStart w:id="5" w:name="gerenciador_estimador_é_partic_em_remane"/>
      <w:bookmarkEnd w:id="5"/>
    </w:p>
    <w:p w14:paraId="6E1C52B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8.4. Na hipótese de remanejamento de órgão ou entidade participante para órgão ou entidade não participante, serão observados os limites previstos no art. 32 do Decreto nº 11.462, de 2023.</w:t>
      </w:r>
    </w:p>
    <w:p w14:paraId="0B7E6F37">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7E047548">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3674AF72">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74E3953C">
      <w:pPr>
        <w:spacing w:before="100" w:beforeAutospacing="1" w:after="100" w:afterAutospacing="1" w:line="276" w:lineRule="auto"/>
        <w:rPr>
          <w:rFonts w:ascii="Times New Roman" w:hAnsi="Times New Roman" w:eastAsia="Times New Roman" w:cs="Times New Roman"/>
          <w:color w:val="000000"/>
          <w:sz w:val="24"/>
          <w:szCs w:val="24"/>
          <w:lang w:eastAsia="pt-BR"/>
        </w:rPr>
      </w:pPr>
    </w:p>
    <w:p w14:paraId="498FFFF7">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 xml:space="preserve">9. </w:t>
      </w:r>
      <w:bookmarkStart w:id="6" w:name="cancelamento"/>
      <w:bookmarkEnd w:id="6"/>
      <w:r>
        <w:rPr>
          <w:rFonts w:hint="default" w:ascii="Times New Roman" w:hAnsi="Times New Roman" w:eastAsia="SimSun" w:cs="Times New Roman"/>
          <w:b/>
          <w:bCs/>
          <w:i w:val="0"/>
          <w:iCs w:val="0"/>
          <w:caps/>
          <w:color w:val="000000"/>
          <w:spacing w:val="0"/>
          <w:sz w:val="24"/>
          <w:szCs w:val="24"/>
          <w:shd w:val="clear" w:fill="E6E6E6"/>
        </w:rPr>
        <w:t>DO CANCELAMENTO DO REGISTRO DO LICITANTE VENCEDOR E DOS PREÇOS REGISTRADOS</w:t>
      </w:r>
    </w:p>
    <w:p w14:paraId="185161FC">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9.1. O registro do fornecedor será cancelado pelo gerenciador, quando o fornecedor:</w:t>
      </w:r>
      <w:bookmarkStart w:id="7" w:name="cancelamento_do_fornecedor"/>
      <w:bookmarkEnd w:id="7"/>
    </w:p>
    <w:p w14:paraId="1F6B0D9E">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9.1.1. Descumprir as condições da ata de registro de preços, sem motivo justificado;</w:t>
      </w:r>
    </w:p>
    <w:p w14:paraId="6D9920D4">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9.1.2. Não retirar a nota de empenho, ou instrumento equivalente, no prazo estabelecido pela Administração sem justificativa razoável;</w:t>
      </w:r>
    </w:p>
    <w:p w14:paraId="1C90CC0F">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9.1.3. Não aceitar manter seu preço registrado, na hipótese prevista no artigo 27, § 2º, do Decreto nº 11.462, de 2023; ou</w:t>
      </w:r>
    </w:p>
    <w:p w14:paraId="17375EBB">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9.1.4. Sofrer sanção prevista nos incisos III ou IV do caput do art. 156 da Lei nº 14.133, de 2021.</w:t>
      </w:r>
    </w:p>
    <w:p w14:paraId="3D415412">
      <w:pPr>
        <w:spacing w:before="120" w:after="120" w:line="276" w:lineRule="auto"/>
        <w:ind w:left="12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CECA6E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9.2. O cancelamento de registros nas hipóteses previstas no item 9.1 será formalizado por despacho do órgão ou da entidade gerenciadora, garantidos os princípios do contraditório e da ampla defesa.</w:t>
      </w:r>
    </w:p>
    <w:p w14:paraId="2D08A95A">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9.3. Na hipótese de cancelamento do registro do fornecedor, o órgão ou a entidade gerenciadora poderá convocar os licitantes que compõem o cadastro de reserva, observada a ordem de classificação.</w:t>
      </w:r>
    </w:p>
    <w:p w14:paraId="704FD98C">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9.4. 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p>
    <w:p w14:paraId="0A41F7C1">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9.4.1. Por razão de interesse público;</w:t>
      </w:r>
    </w:p>
    <w:p w14:paraId="41F81954">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9.4.2. A pedido do fornecedor, decorrente de caso fortuito ou força maior; ou</w:t>
      </w:r>
    </w:p>
    <w:p w14:paraId="79252A1C">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9.4.3. Se não houver êxito nas negociações, nas hipóteses em que o preço de mercado tornar-se superior ou inferior ao preço registrado, nos termos do artigos 26, § 3º e  27, § 4º, ambos do Decreto nº 11.462, de 2023.</w:t>
      </w:r>
    </w:p>
    <w:p w14:paraId="23242674">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w:t>
      </w:r>
    </w:p>
    <w:p w14:paraId="0E813F78">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10. DAS PENALIDADES</w:t>
      </w:r>
    </w:p>
    <w:p w14:paraId="74EEAE40">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10.1. O descumprimento da Ata de Registro de Preços ensejará aplicação das penalidades estabelecidas no edital.</w:t>
      </w:r>
    </w:p>
    <w:p w14:paraId="56B5ECC0">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10.1.1. As sanções também se aplicam aos integrantes do cadastro de reserva no registro de preços que, convocados, não honrarem o compromisso assumido injustificadamente após terem assinado a ata.</w:t>
      </w:r>
    </w:p>
    <w:p w14:paraId="2D6AACF9">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2B129CF">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14:paraId="22984A9A">
      <w:pPr>
        <w:spacing w:before="120" w:after="120" w:line="276" w:lineRule="auto"/>
        <w:ind w:right="120"/>
        <w:jc w:val="both"/>
        <w:rPr>
          <w:rFonts w:ascii="Times New Roman" w:hAnsi="Times New Roman" w:eastAsia="Times New Roman" w:cs="Times New Roman"/>
          <w:color w:val="000000"/>
          <w:sz w:val="24"/>
          <w:szCs w:val="24"/>
          <w:lang w:eastAsia="pt-BR"/>
        </w:rPr>
      </w:pPr>
    </w:p>
    <w:p w14:paraId="72563FB8">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 xml:space="preserve">11. </w:t>
      </w:r>
      <w:r>
        <w:rPr>
          <w:rFonts w:hint="default" w:ascii="Times New Roman" w:hAnsi="Times New Roman" w:eastAsia="SimSun" w:cs="Times New Roman"/>
          <w:b/>
          <w:bCs/>
          <w:i w:val="0"/>
          <w:iCs w:val="0"/>
          <w:caps/>
          <w:color w:val="000000"/>
          <w:spacing w:val="0"/>
          <w:sz w:val="24"/>
          <w:szCs w:val="24"/>
          <w:shd w:val="clear" w:fill="E6E6E6"/>
        </w:rPr>
        <w:t>DAS CONDIÇÕES GERAIS</w:t>
      </w:r>
    </w:p>
    <w:p w14:paraId="4D5794B5">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11.1. 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1583EB0">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11.2. No caso de adjudicação por preço global de grupo de itens, só será admitida a contratação dos itens para contratação da totalidade dos itens de grupo, respeitadas as proporções de quantitativos definidos no certame.</w:t>
      </w:r>
    </w:p>
    <w:p w14:paraId="6A05EF6B">
      <w:pPr>
        <w:spacing w:before="120" w:after="120" w:line="276" w:lineRule="auto"/>
        <w:ind w:left="12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w:t>
      </w:r>
    </w:p>
    <w:p w14:paraId="10044733">
      <w:pPr>
        <w:spacing w:after="0" w:line="276" w:lineRule="auto"/>
        <w:rPr>
          <w:rFonts w:ascii="Times New Roman" w:hAnsi="Times New Roman" w:eastAsia="Times New Roman" w:cs="Times New Roman"/>
          <w:sz w:val="24"/>
          <w:szCs w:val="24"/>
          <w:lang w:eastAsia="pt-BR"/>
        </w:rPr>
      </w:pPr>
      <w:r>
        <w:rPr>
          <w:rFonts w:ascii="Times New Roman" w:hAnsi="Times New Roman" w:eastAsia="Times New Roman" w:cs="Times New Roman"/>
          <w:color w:val="000000"/>
          <w:sz w:val="24"/>
          <w:szCs w:val="24"/>
          <w:lang w:eastAsia="pt-BR"/>
        </w:rPr>
        <w:t>Para firmeza e validade do pactuado, a presente Ata foi lavrada, depois de lida e achada em ordem, vai assinada digitalmente pelas partes e encaminhada cópia aos demais órgãos participantes (se houver).</w:t>
      </w:r>
    </w:p>
    <w:p w14:paraId="66140BE9">
      <w:pPr>
        <w:spacing w:before="120" w:after="120" w:line="276" w:lineRule="auto"/>
        <w:ind w:left="120" w:right="120"/>
        <w:jc w:val="center"/>
        <w:rPr>
          <w:rFonts w:ascii="Times New Roman" w:hAnsi="Times New Roman" w:eastAsia="Times New Roman" w:cs="Times New Roman"/>
          <w:color w:val="000000"/>
          <w:sz w:val="24"/>
          <w:szCs w:val="24"/>
          <w:lang w:eastAsia="pt-BR"/>
        </w:rPr>
      </w:pPr>
      <w:bookmarkStart w:id="9" w:name="_GoBack"/>
    </w:p>
    <w:bookmarkEnd w:id="9"/>
    <w:p w14:paraId="34AB532B">
      <w:pPr>
        <w:spacing w:before="120" w:after="120" w:line="276" w:lineRule="auto"/>
        <w:ind w:left="120" w:right="120"/>
        <w:jc w:val="center"/>
        <w:rPr>
          <w:rFonts w:ascii="Times New Roman" w:hAnsi="Times New Roman" w:eastAsia="Times New Roman" w:cs="Times New Roman"/>
          <w:color w:val="000000"/>
          <w:sz w:val="24"/>
          <w:szCs w:val="24"/>
          <w:lang w:eastAsia="pt-BR"/>
        </w:rPr>
      </w:pPr>
    </w:p>
    <w:p w14:paraId="701024B5">
      <w:pPr>
        <w:spacing w:before="120" w:after="120" w:line="276" w:lineRule="auto"/>
        <w:ind w:left="120" w:right="120"/>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_______,__________________.</w:t>
      </w:r>
    </w:p>
    <w:p w14:paraId="40587073">
      <w:pPr>
        <w:spacing w:before="120" w:after="120" w:line="276" w:lineRule="auto"/>
        <w:ind w:left="120" w:right="120"/>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(Local e data)</w:t>
      </w:r>
    </w:p>
    <w:p w14:paraId="66EF1FE9">
      <w:pPr>
        <w:spacing w:before="120" w:after="120" w:line="276" w:lineRule="auto"/>
        <w:ind w:left="120" w:right="120"/>
        <w:jc w:val="center"/>
        <w:rPr>
          <w:rFonts w:ascii="Times New Roman" w:hAnsi="Times New Roman" w:eastAsia="Times New Roman" w:cs="Times New Roman"/>
          <w:b/>
          <w:bCs/>
          <w:color w:val="000000"/>
          <w:sz w:val="24"/>
          <w:szCs w:val="24"/>
          <w:lang w:eastAsia="pt-BR"/>
        </w:rPr>
      </w:pPr>
      <w:r>
        <w:rPr>
          <w:rFonts w:ascii="Times New Roman" w:hAnsi="Times New Roman" w:eastAsia="Times New Roman" w:cs="Times New Roman"/>
          <w:b/>
          <w:bCs/>
          <w:color w:val="000000"/>
          <w:sz w:val="24"/>
          <w:szCs w:val="24"/>
          <w:lang w:eastAsia="pt-BR"/>
        </w:rPr>
        <w:t>Assinaturas</w:t>
      </w:r>
    </w:p>
    <w:p w14:paraId="51346F54">
      <w:pPr>
        <w:spacing w:before="120" w:after="120" w:line="276" w:lineRule="auto"/>
        <w:ind w:left="120" w:right="120"/>
        <w:jc w:val="center"/>
        <w:rPr>
          <w:rFonts w:ascii="Times New Roman" w:hAnsi="Times New Roman" w:eastAsia="Times New Roman" w:cs="Times New Roman"/>
          <w:color w:val="000000"/>
          <w:sz w:val="24"/>
          <w:szCs w:val="24"/>
          <w:lang w:eastAsia="pt-BR"/>
        </w:rPr>
      </w:pPr>
    </w:p>
    <w:p w14:paraId="65A90668">
      <w:pPr>
        <w:spacing w:before="120" w:after="120" w:line="276" w:lineRule="auto"/>
        <w:ind w:left="120" w:right="120"/>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Representante legal do órgão gerenciador e representante(s) legal(is) do(s) fornecedor(s) registrado(s)</w:t>
      </w:r>
    </w:p>
    <w:sectPr>
      <w:pgSz w:w="11906" w:h="16838"/>
      <w:pgMar w:top="1417" w:right="1558"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172BBD"/>
    <w:multiLevelType w:val="multilevel"/>
    <w:tmpl w:val="72172BBD"/>
    <w:lvl w:ilvl="0" w:tentative="0">
      <w:start w:val="1"/>
      <w:numFmt w:val="decimal"/>
      <w:lvlText w:val="%1."/>
      <w:lvlJc w:val="left"/>
      <w:pPr>
        <w:ind w:left="0" w:firstLine="0"/>
      </w:pPr>
      <w:rPr>
        <w:rFonts w:hint="default"/>
      </w:r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E4C"/>
    <w:rsid w:val="00035476"/>
    <w:rsid w:val="000E782F"/>
    <w:rsid w:val="001B4E4C"/>
    <w:rsid w:val="001F5B4D"/>
    <w:rsid w:val="00351B27"/>
    <w:rsid w:val="009E4ABF"/>
    <w:rsid w:val="00A217C1"/>
    <w:rsid w:val="00A47FE0"/>
    <w:rsid w:val="00A93526"/>
    <w:rsid w:val="00B77F5E"/>
    <w:rsid w:val="00BE0267"/>
    <w:rsid w:val="00C153C2"/>
    <w:rsid w:val="00CB6895"/>
    <w:rsid w:val="00DF7662"/>
    <w:rsid w:val="00E53CDC"/>
    <w:rsid w:val="00EF7B8A"/>
    <w:rsid w:val="00F24D46"/>
    <w:rsid w:val="00F42C0F"/>
    <w:rsid w:val="22022FA8"/>
    <w:rsid w:val="4EBE31C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Strong"/>
    <w:basedOn w:val="2"/>
    <w:qFormat/>
    <w:uiPriority w:val="22"/>
    <w:rPr>
      <w:b/>
      <w:bCs/>
    </w:rPr>
  </w:style>
  <w:style w:type="character" w:styleId="5">
    <w:name w:val="Emphasis"/>
    <w:basedOn w:val="2"/>
    <w:qFormat/>
    <w:uiPriority w:val="20"/>
    <w:rPr>
      <w:i/>
      <w:iCs/>
    </w:rPr>
  </w:style>
  <w:style w:type="paragraph" w:styleId="6">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7">
    <w:name w:val="texto_centralizado_maiusculas_negrito_sem_espacame"/>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8">
    <w:name w:val="texto_justificado_recuo_primeira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
    <w:name w:val="item_nivel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
    <w:name w:val="item_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
    <w:name w:val="texto_justificad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
    <w:name w:val="item_nivel3"/>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3">
    <w:name w:val="item_nivel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4">
    <w:name w:val="item_nivel4"/>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5">
    <w:name w:val="texto_centralizad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16">
    <w:name w:val="List Paragraph"/>
    <w:basedOn w:val="1"/>
    <w:qFormat/>
    <w:uiPriority w:val="34"/>
    <w:pPr>
      <w:ind w:left="720"/>
      <w:contextualSpacing/>
    </w:pPr>
  </w:style>
  <w:style w:type="paragraph" w:customStyle="1" w:styleId="17">
    <w:name w:val="Default"/>
    <w:uiPriority w:val="0"/>
    <w:pPr>
      <w:autoSpaceDE w:val="0"/>
      <w:autoSpaceDN w:val="0"/>
      <w:adjustRightInd w:val="0"/>
      <w:spacing w:after="0" w:line="240" w:lineRule="auto"/>
    </w:pPr>
    <w:rPr>
      <w:rFonts w:ascii="Tahoma" w:hAnsi="Tahoma" w:cs="Tahoma" w:eastAsiaTheme="minorHAnsi"/>
      <w:color w:val="000000"/>
      <w:sz w:val="24"/>
      <w:szCs w:val="24"/>
      <w:lang w:val="pt-BR"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3194</Words>
  <Characters>17249</Characters>
  <Lines>143</Lines>
  <Paragraphs>40</Paragraphs>
  <TotalTime>99</TotalTime>
  <ScaleCrop>false</ScaleCrop>
  <LinksUpToDate>false</LinksUpToDate>
  <CharactersWithSpaces>20403</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2023-07-05T20:49:00Z</dcterms:created>
  <dc:creator>Ana Cpl</dc:creator>
  <cp:lastModifiedBy>CPL UFPel</cp:lastModifiedBy>
  <dcterms:modified xsi:type="dcterms:W3CDTF">2025-05-29T13:46:05Z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1046-12.2.0.21179</vt:lpwstr>
  </property>
  <property fmtid="{D5CDD505-2E9C-101B-9397-08002B2CF9AE}" pid="3" name="ICV">
    <vt:lpwstr>F342B29EEA5A412C87C4DD3A263F6A46_12</vt:lpwstr>
  </property>
</Properties>
</file>